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0910" w:type="dxa"/>
        <w:tblLayout w:type="fixed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270"/>
        <w:gridCol w:w="22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270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28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Ab 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Uhr</w:t>
            </w: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Gedächtnis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Training</w:t>
            </w: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290195</wp:posOffset>
                  </wp:positionV>
                  <wp:extent cx="1682165" cy="1152525"/>
                  <wp:effectExtent l="0" t="0" r="0" b="0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-22618" b="-22620"/>
                          <a:stretch/>
                        </pic:blipFill>
                        <pic:spPr bwMode="auto">
                          <a:xfrm>
                            <a:off x="0" y="0"/>
                            <a:ext cx="168216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11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Uhr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Kegeln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115983</wp:posOffset>
                  </wp:positionV>
                  <wp:extent cx="1176713" cy="1176713"/>
                  <wp:effectExtent l="0" t="0" r="4445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13" cy="1176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10:30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Bingo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572236</wp:posOffset>
                  </wp:positionV>
                  <wp:extent cx="1360952" cy="932180"/>
                  <wp:effectExtent l="0" t="0" r="0" b="1270"/>
                  <wp:wrapTopAndBottom/>
                  <wp:docPr id="7" name="Bild 7" descr="Bingo lottery balls and bingo cards concept vector illustration  Stock-Vektorgrafi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ngo lottery balls and bingo cards concept vector illustration  Stock-Vektorgrafi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52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172720</wp:posOffset>
                  </wp:positionV>
                  <wp:extent cx="1276350" cy="1276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12:30Uhr auf den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Sitzgymnastik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561340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/>
    <w:p/>
    <w:p/>
    <w:sectPr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jc w:val="center"/>
      <w:rPr>
        <w:color w:val="C00000"/>
        <w:sz w:val="28"/>
      </w:rPr>
    </w:pPr>
    <w:r>
      <w:rPr>
        <w:color w:val="C00000"/>
        <w:sz w:val="28"/>
      </w:rPr>
      <w:t>Alle Angebote finden im Schlosszimmer (EG) statt.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15.04. - 26.04.2024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wohnen am Schloss</cp:lastModifiedBy>
  <cp:revision>2</cp:revision>
  <cp:lastPrinted>2023-11-17T13:12:00Z</cp:lastPrinted>
  <dcterms:created xsi:type="dcterms:W3CDTF">2024-04-12T05:50:00Z</dcterms:created>
  <dcterms:modified xsi:type="dcterms:W3CDTF">2024-04-12T05:50:00Z</dcterms:modified>
</cp:coreProperties>
</file>